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11B826EE" w14:textId="566066C1"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</w:t>
      </w:r>
      <w:r w:rsidR="00052E15">
        <w:rPr>
          <w:noProof/>
          <w:sz w:val="22"/>
          <w:szCs w:val="22"/>
        </w:rPr>
        <w:t>regular monthly</w:t>
      </w:r>
      <w:r w:rsidR="00C34067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 xml:space="preserve">meeting </w:t>
      </w:r>
      <w:r w:rsidR="00AB149E">
        <w:rPr>
          <w:noProof/>
          <w:sz w:val="22"/>
          <w:szCs w:val="22"/>
        </w:rPr>
        <w:t xml:space="preserve">scheduled for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052E15">
        <w:rPr>
          <w:noProof/>
          <w:sz w:val="22"/>
          <w:szCs w:val="22"/>
        </w:rPr>
        <w:t>Tuesday</w:t>
      </w:r>
      <w:r w:rsidR="00C34067">
        <w:rPr>
          <w:noProof/>
          <w:sz w:val="22"/>
          <w:szCs w:val="22"/>
        </w:rPr>
        <w:t xml:space="preserve"> </w:t>
      </w:r>
      <w:r w:rsidR="00BF16F9">
        <w:rPr>
          <w:noProof/>
          <w:sz w:val="22"/>
          <w:szCs w:val="22"/>
        </w:rPr>
        <w:t>February 22</w:t>
      </w:r>
      <w:r w:rsidR="00C34067">
        <w:rPr>
          <w:noProof/>
          <w:sz w:val="22"/>
          <w:szCs w:val="22"/>
        </w:rPr>
        <w:t>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DA618B">
        <w:rPr>
          <w:noProof/>
          <w:sz w:val="22"/>
          <w:szCs w:val="22"/>
        </w:rPr>
        <w:t>2</w:t>
      </w:r>
      <w:r w:rsidRPr="006713F4">
        <w:rPr>
          <w:noProof/>
          <w:sz w:val="22"/>
          <w:szCs w:val="22"/>
        </w:rPr>
        <w:t xml:space="preserve"> </w:t>
      </w:r>
      <w:r w:rsidR="00AB149E">
        <w:rPr>
          <w:noProof/>
          <w:sz w:val="22"/>
          <w:szCs w:val="22"/>
        </w:rPr>
        <w:t xml:space="preserve"> has been rescheduled for March 01, 2022 at 4:00 pm and will be held </w:t>
      </w:r>
      <w:r w:rsidRPr="006713F4">
        <w:rPr>
          <w:noProof/>
          <w:sz w:val="22"/>
          <w:szCs w:val="22"/>
        </w:rPr>
        <w:t xml:space="preserve">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</w:t>
      </w:r>
      <w:r w:rsidR="00AC6F31">
        <w:rPr>
          <w:noProof/>
          <w:sz w:val="22"/>
          <w:szCs w:val="22"/>
        </w:rPr>
        <w:t>i</w:t>
      </w:r>
      <w:r w:rsidR="004A11EC"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306CF9D6" w:rsidR="008525F9" w:rsidRPr="009D1181" w:rsidRDefault="00BF16F9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January 25, 2022</w:t>
      </w:r>
    </w:p>
    <w:p w14:paraId="5FB964B3" w14:textId="0858B6A5" w:rsidR="009D1181" w:rsidRPr="00595A5B" w:rsidRDefault="009D1181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February 8, 2022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5B03C8CD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71FBB1FE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4795F186" w14:textId="2D7534F2" w:rsidR="00BF16F9" w:rsidRDefault="00BF16F9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Presentation of 2020-2021 Financial Audit by Mr. William Hancock of the Britti</w:t>
      </w:r>
      <w:r w:rsidR="0067513A">
        <w:rPr>
          <w:sz w:val="22"/>
          <w:szCs w:val="22"/>
        </w:rPr>
        <w:t>n</w:t>
      </w:r>
      <w:r>
        <w:rPr>
          <w:sz w:val="22"/>
          <w:szCs w:val="22"/>
        </w:rPr>
        <w:t xml:space="preserve">gham Group </w:t>
      </w:r>
      <w:r w:rsidR="0067513A">
        <w:rPr>
          <w:sz w:val="22"/>
          <w:szCs w:val="22"/>
        </w:rPr>
        <w:t>LLP</w:t>
      </w:r>
    </w:p>
    <w:p w14:paraId="047D0595" w14:textId="5A2C4068" w:rsidR="007B0277" w:rsidRDefault="007B0277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Resolution 2022-02 Contract Award to Carolina Tap &amp; Bore for Gifford Waterline Extension Project</w:t>
      </w:r>
    </w:p>
    <w:p w14:paraId="4D2AE05E" w14:textId="48082BB6" w:rsidR="00E3120D" w:rsidRDefault="000F65FE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of SCRIA Position on Funding Eligibility</w:t>
      </w:r>
      <w:r w:rsidR="00DA618B">
        <w:rPr>
          <w:sz w:val="22"/>
          <w:szCs w:val="22"/>
        </w:rPr>
        <w:t xml:space="preserve"> </w:t>
      </w:r>
    </w:p>
    <w:p w14:paraId="7C81CAB7" w14:textId="1DD1B5E3" w:rsidR="00C70CC9" w:rsidRDefault="00C70CC9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</w:t>
      </w:r>
      <w:r w:rsidR="005C055A">
        <w:rPr>
          <w:sz w:val="22"/>
          <w:szCs w:val="22"/>
        </w:rPr>
        <w:t xml:space="preserve">Draft Policy </w:t>
      </w:r>
      <w:r>
        <w:rPr>
          <w:sz w:val="22"/>
          <w:szCs w:val="22"/>
        </w:rPr>
        <w:t xml:space="preserve">Revisions to Allow for </w:t>
      </w:r>
      <w:r w:rsidR="005C055A">
        <w:rPr>
          <w:sz w:val="22"/>
          <w:szCs w:val="22"/>
        </w:rPr>
        <w:t xml:space="preserve">a Master Account for </w:t>
      </w:r>
      <w:r>
        <w:rPr>
          <w:sz w:val="22"/>
          <w:szCs w:val="22"/>
        </w:rPr>
        <w:t xml:space="preserve">Multiple </w:t>
      </w:r>
      <w:r w:rsidR="005C055A">
        <w:rPr>
          <w:sz w:val="22"/>
          <w:szCs w:val="22"/>
        </w:rPr>
        <w:t>Services</w:t>
      </w:r>
      <w:r>
        <w:rPr>
          <w:sz w:val="22"/>
          <w:szCs w:val="22"/>
        </w:rPr>
        <w:t xml:space="preserve"> </w:t>
      </w:r>
    </w:p>
    <w:p w14:paraId="76025E69" w14:textId="36C07524" w:rsidR="001056DE" w:rsidRDefault="001056DE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of Town of Varnville Proposal for Use of American Rescue Plan Act Funds as Provided for by the Town of Varnville Resolution 2021-14 and 2021-16</w:t>
      </w:r>
    </w:p>
    <w:p w14:paraId="3BF19864" w14:textId="77777777" w:rsidR="008C279E" w:rsidRPr="00DE7D9C" w:rsidRDefault="008C279E" w:rsidP="008C279E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6D62" w14:textId="77777777" w:rsidR="006A738F" w:rsidRDefault="006A738F">
      <w:r>
        <w:separator/>
      </w:r>
    </w:p>
  </w:endnote>
  <w:endnote w:type="continuationSeparator" w:id="0">
    <w:p w14:paraId="5EBFF877" w14:textId="77777777" w:rsidR="006A738F" w:rsidRDefault="006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58F0" w14:textId="77777777" w:rsidR="006A738F" w:rsidRDefault="006A738F">
      <w:r>
        <w:separator/>
      </w:r>
    </w:p>
  </w:footnote>
  <w:footnote w:type="continuationSeparator" w:id="0">
    <w:p w14:paraId="103083CF" w14:textId="77777777" w:rsidR="006A738F" w:rsidRDefault="006A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6A738F" w:rsidP="005E1875">
    <w:pPr>
      <w:pStyle w:val="Header"/>
      <w:jc w:val="center"/>
    </w:pPr>
  </w:p>
  <w:p w14:paraId="67739DC4" w14:textId="77777777" w:rsidR="001736CB" w:rsidRDefault="006A7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68pt;height:624pt" o:bullet="t">
        <v:imagedata r:id="rId1" o:title="Water-Droplet"/>
      </v:shape>
    </w:pict>
  </w:numPicBullet>
  <w:numPicBullet w:numPicBulletId="1">
    <w:pict>
      <v:shape id="_x0000_i1063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26A9"/>
    <w:rsid w:val="003D3EF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29AD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7334"/>
    <w:rsid w:val="006806AC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A738F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25F9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181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F31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752B"/>
    <w:rsid w:val="00C90B2C"/>
    <w:rsid w:val="00C96FCD"/>
    <w:rsid w:val="00C9746F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2022-02-24T18:10:00Z</cp:lastPrinted>
  <dcterms:created xsi:type="dcterms:W3CDTF">2022-02-25T19:06:00Z</dcterms:created>
  <dcterms:modified xsi:type="dcterms:W3CDTF">2022-02-25T19:06:00Z</dcterms:modified>
</cp:coreProperties>
</file>